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E2" w:rsidRDefault="001F50E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F50E2" w:rsidRDefault="001F50E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F50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50E2" w:rsidRDefault="001F50E2">
            <w:pPr>
              <w:pStyle w:val="ConsPlusNormal"/>
            </w:pPr>
            <w:r>
              <w:t>20 марта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50E2" w:rsidRDefault="001F50E2">
            <w:pPr>
              <w:pStyle w:val="ConsPlusNormal"/>
              <w:jc w:val="right"/>
            </w:pPr>
            <w:r>
              <w:t>N 159</w:t>
            </w:r>
          </w:p>
        </w:tc>
      </w:tr>
    </w:tbl>
    <w:p w:rsidR="001F50E2" w:rsidRDefault="001F50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50E2" w:rsidRDefault="001F50E2">
      <w:pPr>
        <w:pStyle w:val="ConsPlusNormal"/>
        <w:jc w:val="center"/>
      </w:pPr>
    </w:p>
    <w:p w:rsidR="001F50E2" w:rsidRDefault="001F50E2">
      <w:pPr>
        <w:pStyle w:val="ConsPlusTitle"/>
        <w:jc w:val="center"/>
      </w:pPr>
      <w:r>
        <w:t>УКАЗ</w:t>
      </w:r>
    </w:p>
    <w:p w:rsidR="001F50E2" w:rsidRDefault="001F50E2">
      <w:pPr>
        <w:pStyle w:val="ConsPlusTitle"/>
        <w:jc w:val="center"/>
      </w:pPr>
    </w:p>
    <w:p w:rsidR="001F50E2" w:rsidRDefault="001F50E2">
      <w:pPr>
        <w:pStyle w:val="ConsPlusTitle"/>
        <w:jc w:val="center"/>
      </w:pPr>
      <w:r>
        <w:t>ПРЕЗИДЕНТА РОССИЙСКОЙ ФЕДЕРАЦИИ</w:t>
      </w:r>
    </w:p>
    <w:p w:rsidR="001F50E2" w:rsidRDefault="001F50E2">
      <w:pPr>
        <w:pStyle w:val="ConsPlusTitle"/>
        <w:jc w:val="center"/>
      </w:pPr>
    </w:p>
    <w:p w:rsidR="001F50E2" w:rsidRDefault="001F50E2">
      <w:pPr>
        <w:pStyle w:val="ConsPlusTitle"/>
        <w:jc w:val="center"/>
      </w:pPr>
      <w:r>
        <w:t>ОБ ОСОБЕННОСТЯХ</w:t>
      </w:r>
    </w:p>
    <w:p w:rsidR="001F50E2" w:rsidRDefault="001F50E2">
      <w:pPr>
        <w:pStyle w:val="ConsPlusTitle"/>
        <w:jc w:val="center"/>
      </w:pPr>
      <w:r>
        <w:t>ПРАВОВОГО ПОЛОЖЕНИЯ ОТДЕЛЬНЫХ КАТЕГОРИЙ ИНОСТРАННЫХ ГРАЖДАН</w:t>
      </w:r>
    </w:p>
    <w:p w:rsidR="001F50E2" w:rsidRDefault="001F50E2">
      <w:pPr>
        <w:pStyle w:val="ConsPlusTitle"/>
        <w:jc w:val="center"/>
      </w:pPr>
      <w:r>
        <w:t>И ЛИЦ БЕЗ ГРАЖДАНСТВА В РОССИЙСКОЙ ФЕДЕРАЦИИ, ИЗМЕНЕНИИ</w:t>
      </w:r>
    </w:p>
    <w:p w:rsidR="001F50E2" w:rsidRDefault="001F50E2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НЕКОТОРЫХ УКАЗОВ</w:t>
      </w:r>
    </w:p>
    <w:p w:rsidR="001F50E2" w:rsidRDefault="001F50E2">
      <w:pPr>
        <w:pStyle w:val="ConsPlusTitle"/>
        <w:jc w:val="center"/>
      </w:pPr>
      <w:r>
        <w:t>ПРЕЗИДЕНТА РОССИЙСКОЙ ФЕДЕРАЦИИ</w:t>
      </w:r>
    </w:p>
    <w:p w:rsidR="001F50E2" w:rsidRDefault="001F50E2">
      <w:pPr>
        <w:pStyle w:val="ConsPlusNormal"/>
        <w:jc w:val="center"/>
      </w:pPr>
    </w:p>
    <w:p w:rsidR="001F50E2" w:rsidRDefault="001F50E2">
      <w:pPr>
        <w:pStyle w:val="ConsPlusNormal"/>
        <w:ind w:firstLine="540"/>
        <w:jc w:val="both"/>
      </w:pPr>
      <w:r>
        <w:t xml:space="preserve">В целях защиты прав и свобод человека и гражданина, руководствуясь </w:t>
      </w:r>
      <w:hyperlink r:id="rId5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</w:t>
      </w:r>
      <w:hyperlink r:id="rId6">
        <w:r>
          <w:rPr>
            <w:color w:val="0000FF"/>
          </w:rPr>
          <w:t>статьей 3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Федерации", постановляю: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1F50E2" w:rsidRDefault="001F50E2">
      <w:pPr>
        <w:pStyle w:val="ConsPlusNormal"/>
        <w:spacing w:before="220"/>
        <w:ind w:firstLine="540"/>
        <w:jc w:val="both"/>
      </w:pPr>
      <w:bookmarkStart w:id="0" w:name="P16"/>
      <w:bookmarkEnd w:id="0"/>
      <w:proofErr w:type="gramStart"/>
      <w:r>
        <w:t xml:space="preserve">а) находящиеся в Российской Федерации граждане Украины, не имеющие законных оснований для пребывания (проживания) в Российской Федерации, обязаны самостоятельно выехать из Российской Федерации либо до 10 сентября 2025 г. включительно урегулировать свое правовое положение в Российской Федерации 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30 декабря 2024 г. N 1126 "О временных мерах по урегулированию правового положения отдельных категорий</w:t>
      </w:r>
      <w:proofErr w:type="gramEnd"/>
      <w:r>
        <w:t xml:space="preserve"> иностранных граждан и лиц без гражданства в Российской Федерации в связи с применением режима высылки";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gramStart"/>
      <w:r>
        <w:t>б) иностранные граждане и лица без гражданства, которые прибыли до дня вступления в силу настоящего Указа на территории Донецкой Народной Республики, Луганской Народной Республики, Запорожской области и Херсонской области в целях, не связанных с осуществлением трудовой деятельности, на срок, превышающий 90 календарных дней, либо в целях осуществления трудовой деятельности и не прошли медицинское освидетельствование на наличие или отсутствие факта употребления</w:t>
      </w:r>
      <w:proofErr w:type="gramEnd"/>
      <w:r>
        <w:t xml:space="preserve"> </w:t>
      </w:r>
      <w:proofErr w:type="gramStart"/>
      <w:r>
        <w:t xml:space="preserve">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власти, и заболевания, вызываемого вирусом иммунодефицита человека (ВИЧ-инфекции), предусмотренное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июля 2002 г. N 115-ФЗ "О правовом положении иностранных граждан в Российской Федерации" (далее - медицинское освидетельствование), обязаны</w:t>
      </w:r>
      <w:proofErr w:type="gramEnd"/>
      <w:r>
        <w:t xml:space="preserve"> </w:t>
      </w:r>
      <w:proofErr w:type="gramStart"/>
      <w:r>
        <w:t xml:space="preserve">до 10 июня 2025 г. включительно пройти медицинское освидетельствование и представить в территориальный орган Министерства внутренних дел Российской Федерации медицинские документы, подтверждающие отсутствие факта употребления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отсутствие названных инфекционных заболеваний, и сертификат об отсутствии заболевания, вызываемого вирусом иммунодефицита человека (ВИЧ-инфекции).</w:t>
      </w:r>
      <w:proofErr w:type="gramEnd"/>
    </w:p>
    <w:p w:rsidR="001F50E2" w:rsidRDefault="001F50E2">
      <w:pPr>
        <w:pStyle w:val="ConsPlusNormal"/>
        <w:spacing w:before="220"/>
        <w:ind w:firstLine="540"/>
        <w:jc w:val="both"/>
      </w:pPr>
      <w:r>
        <w:t>2. Министерству внутренних дел Российской Федерации и его территориальным органам обеспечить: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gramStart"/>
      <w:r>
        <w:t xml:space="preserve">а) реализацию мер, исключающих до 10 сентября 2025 г. включительно привлечение к административной ответственности за нарушение режима пребывания (проживания) в </w:t>
      </w:r>
      <w:r>
        <w:lastRenderedPageBreak/>
        <w:t>Российской Федерации граждан Украины, прошедших на день вступления в силу настоящего Указа обязательную государственную дактилоскопическую регистрацию, фотографирование и медицинское освидетельствование, если такое нарушение было выявлено в связи с их обращением в территориальный орган Министерства внутренних дел Российской Федерации в целях</w:t>
      </w:r>
      <w:proofErr w:type="gramEnd"/>
      <w:r>
        <w:t xml:space="preserve"> урегулирования своего правового положения;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>б) распространение информации о положениях настоящего Указа в средствах массовой информации, информационно-телекоммуникационной сети "Интернет", в том числе на официальных сайтах Министерства внутренних дел Российской Федерации и его территориальных органов, и с использованием других способов информирования.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3. Министерству здравоохранения Российской Федерации до 10 сентября 2025 г. включительно обеспечить организацию проведения медицинского освидетельствования граждан Украины, названных в </w:t>
      </w:r>
      <w:hyperlink w:anchor="P16">
        <w:r>
          <w:rPr>
            <w:color w:val="0000FF"/>
          </w:rPr>
          <w:t>подпункте "а" пункта 1</w:t>
        </w:r>
      </w:hyperlink>
      <w:r>
        <w:t xml:space="preserve"> настоящего Указа, без представления ими миграционной карты или визы (в случае их отсутствия).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9">
        <w:r>
          <w:rPr>
            <w:color w:val="0000FF"/>
          </w:rPr>
          <w:t>Указ</w:t>
        </w:r>
      </w:hyperlink>
      <w:r>
        <w:t xml:space="preserve"> Президента Российской Федерации от 27 апреля 2023 г. N 307 "Об особенностях правового положения отдельных категорий иностранных граждан и лиц без гражданства в Российской Федерации" (Собрание законодательства Российской Федерации, 2023, N 18, ст. 3292; 2024, N 2, ст. 395; N 18, ст. 2414) следующие изменения: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б) в </w:t>
      </w:r>
      <w:hyperlink r:id="rId11">
        <w:r>
          <w:rPr>
            <w:color w:val="0000FF"/>
          </w:rPr>
          <w:t>пункте 4</w:t>
        </w:r>
      </w:hyperlink>
      <w:r>
        <w:t>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абзаце первом</w:t>
        </w:r>
      </w:hyperlink>
      <w:r>
        <w:t xml:space="preserve"> слова "в пунктах 1 и 2 настоящего Указа" заменить словами "в пункте 1 настоящего Указа";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подпункте "б"</w:t>
        </w:r>
      </w:hyperlink>
      <w:r>
        <w:t>: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из </w:t>
      </w:r>
      <w:hyperlink r:id="rId15">
        <w:r>
          <w:rPr>
            <w:color w:val="0000FF"/>
          </w:rPr>
          <w:t>абзаца четвертого</w:t>
        </w:r>
      </w:hyperlink>
      <w:r>
        <w:t xml:space="preserve"> слова ", или </w:t>
      </w:r>
      <w:proofErr w:type="gramStart"/>
      <w:r>
        <w:t>документе</w:t>
      </w:r>
      <w:proofErr w:type="gramEnd"/>
      <w:r>
        <w:t>, подтверждающем право на постоянное проживание" исключить;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>"в) приобщают к заявлению о выдаче вида на жительство копии документов, указанных в абзацах втором и четвертом подпункта "б" настоящего пункта. Соответствие копий оригиналам проверяется должностным лицом территориального органа Министерства внутренних дел Российской Федерации и заверяется подписью должностного лица и печатью территориального органа</w:t>
      </w:r>
      <w:proofErr w:type="gramStart"/>
      <w:r>
        <w:t>;"</w:t>
      </w:r>
      <w:proofErr w:type="gramEnd"/>
      <w:r>
        <w:t>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в) в </w:t>
      </w:r>
      <w:hyperlink r:id="rId17">
        <w:r>
          <w:rPr>
            <w:color w:val="0000FF"/>
          </w:rPr>
          <w:t>пункте 5</w:t>
        </w:r>
      </w:hyperlink>
      <w:r>
        <w:t xml:space="preserve"> слова "в пунктах 1 и 2 настоящего Указа" заменить словами "в пункте 1 настоящего Указа";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г) в </w:t>
      </w:r>
      <w:hyperlink r:id="rId18">
        <w:r>
          <w:rPr>
            <w:color w:val="0000FF"/>
          </w:rPr>
          <w:t>пункте 6</w:t>
        </w:r>
      </w:hyperlink>
      <w:r>
        <w:t xml:space="preserve"> слова "в пунктах 1 и 2 настоящего Указа" заменить словами "в пункте 1 настоящего Указа";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r:id="rId19">
        <w:r>
          <w:rPr>
            <w:color w:val="0000FF"/>
          </w:rPr>
          <w:t>пункты 9</w:t>
        </w:r>
      </w:hyperlink>
      <w:r>
        <w:t xml:space="preserve">, </w:t>
      </w:r>
      <w:hyperlink r:id="rId20">
        <w:r>
          <w:rPr>
            <w:color w:val="0000FF"/>
          </w:rPr>
          <w:t>10</w:t>
        </w:r>
      </w:hyperlink>
      <w:r>
        <w:t xml:space="preserve"> и </w:t>
      </w:r>
      <w:hyperlink r:id="rId21">
        <w:r>
          <w:rPr>
            <w:color w:val="0000FF"/>
          </w:rPr>
          <w:t>12</w:t>
        </w:r>
      </w:hyperlink>
      <w:r>
        <w:t xml:space="preserve"> признать утратившими силу;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е) в </w:t>
      </w:r>
      <w:hyperlink r:id="rId22">
        <w:r>
          <w:rPr>
            <w:color w:val="0000FF"/>
          </w:rPr>
          <w:t>пункте 13</w:t>
        </w:r>
      </w:hyperlink>
      <w:r>
        <w:t xml:space="preserve"> слова "в пунктах 1, 2 и 9 настоящего Указа" заменить словами "в пункте 1 настоящего Указа";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ж) в </w:t>
      </w:r>
      <w:hyperlink r:id="rId23">
        <w:r>
          <w:rPr>
            <w:color w:val="0000FF"/>
          </w:rPr>
          <w:t>пункте 14</w:t>
        </w:r>
      </w:hyperlink>
      <w:r>
        <w:t xml:space="preserve"> слова "в пунктах 1, 2 и 9 настоящего Указа" заменить словами "в пункте 1 настоящего Указа";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spellStart"/>
      <w:r>
        <w:lastRenderedPageBreak/>
        <w:t>з</w:t>
      </w:r>
      <w:proofErr w:type="spellEnd"/>
      <w:r>
        <w:t xml:space="preserve">) в </w:t>
      </w:r>
      <w:hyperlink r:id="rId24">
        <w:r>
          <w:rPr>
            <w:color w:val="0000FF"/>
          </w:rPr>
          <w:t>пункте 15</w:t>
        </w:r>
      </w:hyperlink>
      <w:r>
        <w:t>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абзаце первом</w:t>
        </w:r>
      </w:hyperlink>
      <w:r>
        <w:t xml:space="preserve"> слова "до 31 декабря 2024 г." заменить словами "до 31 декабря 2025 г.";</w:t>
      </w:r>
    </w:p>
    <w:bookmarkStart w:id="1" w:name="P38"/>
    <w:bookmarkEnd w:id="1"/>
    <w:p w:rsidR="001F50E2" w:rsidRDefault="001F50E2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"https://login.consultant.ru/link/?req=doc&amp;base=LAW&amp;n=475123&amp;dst=100040" \h</w:instrText>
      </w:r>
      <w:r>
        <w:fldChar w:fldCharType="separate"/>
      </w:r>
      <w:r>
        <w:rPr>
          <w:color w:val="0000FF"/>
        </w:rPr>
        <w:t>подпункт "а"</w:t>
      </w:r>
      <w:r>
        <w:fldChar w:fldCharType="end"/>
      </w:r>
      <w:r>
        <w:t xml:space="preserve"> признать утратившим силу;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gramStart"/>
      <w:r>
        <w:t>"б) иностранные граждане и лица без гражданства вправе осуществлять трудовую деятельность без разрешения на работу или патента и без учета требований к заявленной цели визита в Российскую Федерацию при условии прохождения в территориальном органе Министерства внутренних дел Российской Федерации идентификации личности по отпечаткам пальцев (ладоней) рук (в случае отсутствия дактилоскопической информации - прохождения в указанном территориальном органе дактилоскопической регистрации и фотографирования</w:t>
      </w:r>
      <w:proofErr w:type="gramEnd"/>
      <w:r>
        <w:t xml:space="preserve"> </w:t>
      </w:r>
      <w:proofErr w:type="gramStart"/>
      <w:r>
        <w:t xml:space="preserve">в порядке, установленном законодательством Российской Федерации), а также при условии прохождения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июля 2002 г. N 115-ФЗ "О правовом положении иностранных граждан в Российской Федерации" медицинского освидетельствования на наличие или отсутствие факта употребления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инфекционных заболеваний, представляющих опасность для окружающих, предусмотренных</w:t>
      </w:r>
      <w:proofErr w:type="gramEnd"/>
      <w:r>
        <w:t xml:space="preserve"> перечнем, утвержденным уполномоченным Правительством Российской Федерации федеральным органом исполнительной власти, и заболевания, вызываемого вирусом иммунодефицита человека (ВИЧ-инфекции)</w:t>
      </w:r>
      <w:proofErr w:type="gramStart"/>
      <w:r>
        <w:t>;"</w:t>
      </w:r>
      <w:proofErr w:type="gramEnd"/>
      <w:r>
        <w:t>;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"в) работодатели и заказчики работ (услуг) вправе привлекать к осуществлению трудовой деятельности иностранных граждан и лиц без </w:t>
      </w:r>
      <w:proofErr w:type="gramStart"/>
      <w:r>
        <w:t>гражданства</w:t>
      </w:r>
      <w:proofErr w:type="gramEnd"/>
      <w:r>
        <w:t xml:space="preserve"> без получения в установленном порядке разрешения на привлечение и использование иностранных работников, а также без учета допустимой доли иностранных работников, установленной Правительством Российской Федерации для хозяйствующих субъектов, осуществляющих на территории Российской Федерации отдельные виды экономической деятельности, при соблюдении следующих условий: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gramStart"/>
      <w:r>
        <w:t xml:space="preserve">подача в порядке и по форме, которые установлены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25 июля 2002 г. N 115-ФЗ "О правовом положении иностранных граждан в Российской Федерации", в территориальный орган Министерства внутренних дел Российской Федерации в субъекте Российской Федерации, на территории которого иностранные граждане и лица без гражданства осуществляют трудовую деятельность, уведомления о заключении с иностранным гражданином или лицом</w:t>
      </w:r>
      <w:proofErr w:type="gramEnd"/>
      <w:r>
        <w:t xml:space="preserve"> без гражданства трудового договора или гражданско-правового договора на выполнение работ (оказание услуг) в течение трех рабочих дней со дня заключения соответствующего договора;</w:t>
      </w:r>
    </w:p>
    <w:p w:rsidR="001F50E2" w:rsidRDefault="001F50E2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предъявление иностранными гражданами и лицами без гражданства документа, подтверждающего прохождение ими дактилоскопической регистрации и фотографирования</w:t>
      </w:r>
      <w:proofErr w:type="gramStart"/>
      <w:r>
        <w:t>.";</w:t>
      </w:r>
      <w:proofErr w:type="gramEnd"/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и) </w:t>
      </w:r>
      <w:hyperlink r:id="rId30">
        <w:r>
          <w:rPr>
            <w:color w:val="0000FF"/>
          </w:rPr>
          <w:t>дополнить</w:t>
        </w:r>
      </w:hyperlink>
      <w:r>
        <w:t xml:space="preserve"> пунктом 15(1) следующего содержания: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"15(1). Иностранным гражданам и лицам без гражданства, осуществляющим трудовую деятельность на территориях Донецкой Народной Республики, Луганской Народной Республики, Запорожской области и Херсонской области, при соблюдении условий, предусмотренных подпунктом "б" пункта 15 настоящего Указа, продлеваются на срок действия трудового договора или гражданско-правового договора на выполнение работ (оказание услуг), но не </w:t>
      </w:r>
      <w:proofErr w:type="gramStart"/>
      <w:r>
        <w:t>позднее</w:t>
      </w:r>
      <w:proofErr w:type="gramEnd"/>
      <w:r>
        <w:t xml:space="preserve"> чем до 31 декабря 2025 г. включительно (если иное не предусмотрено международным договором Российской Федерации):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а) срок действия визы (в случае если такие иностранные граждане и лица без гражданства </w:t>
      </w:r>
      <w:r>
        <w:lastRenderedPageBreak/>
        <w:t>прибыли в Российскую Федерацию в порядке, требующем получения визы) - на основании ходатайства организации, в которой иностранный гражданин или лицо без гражданства осуществляет трудовую деятельность;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>б) срок временного пребывания в Российской Федерации (в случае если такие иностранные граждане и лица без гражданства прибыли в Российскую Федерацию в порядке, не требующем получения визы) - на основании заявления иностранного гражданина или лица без гражданства</w:t>
      </w:r>
      <w:proofErr w:type="gramStart"/>
      <w:r>
        <w:t>.";</w:t>
      </w:r>
      <w:proofErr w:type="gramEnd"/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к) в </w:t>
      </w:r>
      <w:hyperlink r:id="rId31">
        <w:r>
          <w:rPr>
            <w:color w:val="0000FF"/>
          </w:rPr>
          <w:t>пункте 18</w:t>
        </w:r>
      </w:hyperlink>
      <w:r>
        <w:t>: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подпункт "а"</w:t>
        </w:r>
      </w:hyperlink>
      <w:r>
        <w:t xml:space="preserve"> признать утратившим силу;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подпункте "б"</w:t>
        </w:r>
      </w:hyperlink>
      <w:r>
        <w:t>: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1F50E2" w:rsidRDefault="001F50E2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35">
        <w:r>
          <w:rPr>
            <w:color w:val="0000FF"/>
          </w:rPr>
          <w:t>абзаце третьем</w:t>
        </w:r>
      </w:hyperlink>
      <w:r>
        <w:t xml:space="preserve"> слова "до 31 декабря 2024 г. включительно к административной ответственности за нарушение режима пребывания (проживания) в Российской Федерации лиц, названных в пунктах 1, 2 и 9 настоящего Указа" заменить словами "до 31 декабря 2025 г. включительно к административной ответственности за нарушение режима пребывания (проживания) в Российской Федерации лиц, названных в пункте 1 настоящего Указа";</w:t>
      </w:r>
      <w:proofErr w:type="gramEnd"/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в </w:t>
      </w:r>
      <w:hyperlink r:id="rId36">
        <w:r>
          <w:rPr>
            <w:color w:val="0000FF"/>
          </w:rPr>
          <w:t>подпункте "в"</w:t>
        </w:r>
      </w:hyperlink>
      <w:r>
        <w:t xml:space="preserve"> слова "с 1 января 2025 г." заменить словами "с 1 января 2026 г.".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7">
        <w:r>
          <w:rPr>
            <w:color w:val="0000FF"/>
          </w:rPr>
          <w:t>Указ</w:t>
        </w:r>
      </w:hyperlink>
      <w:r>
        <w:t xml:space="preserve"> Президента Российской Федерации от 30 декабря 2024 г. N 1126 "О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высылки" (Собрание законодательства Российской Федерации, 2025, N 1, ст. 1) следующие изменения: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а) </w:t>
      </w:r>
      <w:hyperlink r:id="rId38">
        <w:r>
          <w:rPr>
            <w:color w:val="0000FF"/>
          </w:rPr>
          <w:t>пункт 1</w:t>
        </w:r>
      </w:hyperlink>
      <w:r>
        <w:t xml:space="preserve"> после слов "по 30 апреля 2025 г." дополнить словами ", если иной срок не установлен указом Президента Российской Федерации</w:t>
      </w:r>
      <w:proofErr w:type="gramStart"/>
      <w:r>
        <w:t>,"</w:t>
      </w:r>
      <w:proofErr w:type="gramEnd"/>
      <w:r>
        <w:t>;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б) </w:t>
      </w:r>
      <w:hyperlink r:id="rId39">
        <w:r>
          <w:rPr>
            <w:color w:val="0000FF"/>
          </w:rPr>
          <w:t>пункт 7</w:t>
        </w:r>
      </w:hyperlink>
      <w:r>
        <w:t xml:space="preserve"> дополнить подпунктом "в" следующего содержания: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>"в) не принимаются решения об отказе в выдаче или аннулировании разрешения на временное проживание и вида на жительство по основаниям, возникшим до дня принятия решения по заявлению о выдаче соответствующего документа, за исключением случаев установления факта представления иностранным гражданином поддельных или подложных документов либо сообщения о себе заведомо ложных сведений</w:t>
      </w:r>
      <w:proofErr w:type="gramStart"/>
      <w:r>
        <w:t>.".</w:t>
      </w:r>
      <w:proofErr w:type="gramEnd"/>
    </w:p>
    <w:p w:rsidR="001F50E2" w:rsidRDefault="001F50E2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Указ</w:t>
        </w:r>
      </w:hyperlink>
      <w:r>
        <w:t xml:space="preserve"> Президента Российской Федерации от 27 августа 2022 г. N 585 "О временных мерах по урегулированию правового положения граждан Донецкой Народной Республики, Луганской Народной Республики и Украины в Российской Федерации" (Собрание законодательства Российской Федерации, 2022, N 35, ст. 6071);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пункт 4</w:t>
        </w:r>
      </w:hyperlink>
      <w:r>
        <w:t xml:space="preserve"> приложения N 1 к Указу Президента Российской Федерации от 27 апреля 2023 г. N 307 "Об особенностях правового положения отдельных категорий иностранных граждан и лиц без гражданства в Российской Федерации" (Собрание законодательства Российской Федерации, 2023, N 18, ст. 3292);</w:t>
      </w:r>
    </w:p>
    <w:p w:rsidR="001F50E2" w:rsidRDefault="001F50E2">
      <w:pPr>
        <w:pStyle w:val="ConsPlusNormal"/>
        <w:spacing w:before="220"/>
        <w:ind w:firstLine="540"/>
        <w:jc w:val="both"/>
      </w:pPr>
      <w:hyperlink r:id="rId42">
        <w:proofErr w:type="gramStart"/>
        <w:r>
          <w:rPr>
            <w:color w:val="0000FF"/>
          </w:rPr>
          <w:t>пункт 1</w:t>
        </w:r>
      </w:hyperlink>
      <w:r>
        <w:t xml:space="preserve">, </w:t>
      </w:r>
      <w:hyperlink r:id="rId43">
        <w:r>
          <w:rPr>
            <w:color w:val="0000FF"/>
          </w:rPr>
          <w:t>подпункты "а"</w:t>
        </w:r>
      </w:hyperlink>
      <w:r>
        <w:t xml:space="preserve"> - </w:t>
      </w:r>
      <w:hyperlink r:id="rId44">
        <w:r>
          <w:rPr>
            <w:color w:val="0000FF"/>
          </w:rPr>
          <w:t>"в"</w:t>
        </w:r>
      </w:hyperlink>
      <w:r>
        <w:t xml:space="preserve">, </w:t>
      </w:r>
      <w:hyperlink r:id="rId45">
        <w:r>
          <w:rPr>
            <w:color w:val="0000FF"/>
          </w:rPr>
          <w:t>абзац четвертый подпункта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2</w:t>
        </w:r>
      </w:hyperlink>
      <w:r>
        <w:t xml:space="preserve"> Указа Президента Российской Федерации от 22 апреля 2024 г. N 281 "О внесении изменений в Указ Президента Российской Федерации от 27 августа 2022 г. N 585 "О временных мерах по урегулированию </w:t>
      </w:r>
      <w:r>
        <w:lastRenderedPageBreak/>
        <w:t>правового положения лиц, состоявших в гражданстве Донецкой Народной Республики или Луганской Народной Республики, и граждан Украины в Российской</w:t>
      </w:r>
      <w:proofErr w:type="gramEnd"/>
      <w:r>
        <w:t xml:space="preserve"> Федерации" и Указ Президента Российской Федерации от 27 апреля 2023 г. N 307 "Об особенностях правового положения отдельных категорий иностранных граждан и лиц без гражданства в Российской Федерации" (Собрание законодательства Российской Федерации, 2024, N 18, ст. 2414).</w:t>
      </w:r>
    </w:p>
    <w:p w:rsidR="001F50E2" w:rsidRDefault="001F50E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Положения </w:t>
      </w:r>
      <w:hyperlink r:id="rId46">
        <w:r>
          <w:rPr>
            <w:color w:val="0000FF"/>
          </w:rPr>
          <w:t>пункта 15</w:t>
        </w:r>
      </w:hyperlink>
      <w:r>
        <w:t xml:space="preserve"> Указа Президента Российской Федерации от 27 апреля 2023 г. N 307 "Об особенностях правового положения отдельных категорий иностранных граждан и лиц без гражданства в Российской Федерации" применяются к правоотношениям, возникшим с 1 января 2025 г. до дня вступления в силу настоящего Указа, без учета изменений, предусмотренных </w:t>
      </w:r>
      <w:hyperlink w:anchor="P38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44">
        <w:r>
          <w:rPr>
            <w:color w:val="0000FF"/>
          </w:rPr>
          <w:t>девятым подпункта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4</w:t>
        </w:r>
      </w:hyperlink>
      <w:r>
        <w:t xml:space="preserve"> настоящего Указа.</w:t>
      </w:r>
      <w:proofErr w:type="gramEnd"/>
    </w:p>
    <w:p w:rsidR="001F50E2" w:rsidRDefault="001F50E2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1F50E2" w:rsidRDefault="001F50E2">
      <w:pPr>
        <w:pStyle w:val="ConsPlusNormal"/>
        <w:jc w:val="both"/>
      </w:pPr>
    </w:p>
    <w:p w:rsidR="001F50E2" w:rsidRDefault="001F50E2">
      <w:pPr>
        <w:pStyle w:val="ConsPlusNormal"/>
        <w:jc w:val="right"/>
      </w:pPr>
      <w:r>
        <w:t>Президент</w:t>
      </w:r>
    </w:p>
    <w:p w:rsidR="001F50E2" w:rsidRDefault="001F50E2">
      <w:pPr>
        <w:pStyle w:val="ConsPlusNormal"/>
        <w:jc w:val="right"/>
      </w:pPr>
      <w:r>
        <w:t>Российской Федерации</w:t>
      </w:r>
    </w:p>
    <w:p w:rsidR="001F50E2" w:rsidRDefault="001F50E2">
      <w:pPr>
        <w:pStyle w:val="ConsPlusNormal"/>
        <w:jc w:val="right"/>
      </w:pPr>
      <w:r>
        <w:t>В.ПУТИН</w:t>
      </w:r>
    </w:p>
    <w:p w:rsidR="001F50E2" w:rsidRDefault="001F50E2">
      <w:pPr>
        <w:pStyle w:val="ConsPlusNormal"/>
      </w:pPr>
      <w:r>
        <w:t>Москва, Кремль</w:t>
      </w:r>
    </w:p>
    <w:p w:rsidR="001F50E2" w:rsidRDefault="001F50E2">
      <w:pPr>
        <w:pStyle w:val="ConsPlusNormal"/>
        <w:spacing w:before="220"/>
      </w:pPr>
      <w:r>
        <w:t>20 марта 2025 года</w:t>
      </w:r>
    </w:p>
    <w:p w:rsidR="001F50E2" w:rsidRDefault="001F50E2">
      <w:pPr>
        <w:pStyle w:val="ConsPlusNormal"/>
        <w:spacing w:before="220"/>
      </w:pPr>
      <w:r>
        <w:t>N 159</w:t>
      </w:r>
    </w:p>
    <w:p w:rsidR="001F50E2" w:rsidRDefault="001F50E2">
      <w:pPr>
        <w:pStyle w:val="ConsPlusNormal"/>
        <w:jc w:val="both"/>
      </w:pPr>
    </w:p>
    <w:p w:rsidR="001F50E2" w:rsidRDefault="001F50E2">
      <w:pPr>
        <w:pStyle w:val="ConsPlusNormal"/>
        <w:jc w:val="both"/>
      </w:pPr>
    </w:p>
    <w:p w:rsidR="001F50E2" w:rsidRDefault="001F50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A2C" w:rsidRDefault="007F5A2C"/>
    <w:sectPr w:rsidR="007F5A2C" w:rsidSect="00A6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1F50E2"/>
    <w:rsid w:val="0002038E"/>
    <w:rsid w:val="000243B8"/>
    <w:rsid w:val="0011607F"/>
    <w:rsid w:val="001B638C"/>
    <w:rsid w:val="001F50E2"/>
    <w:rsid w:val="00356C1A"/>
    <w:rsid w:val="00384A20"/>
    <w:rsid w:val="00442373"/>
    <w:rsid w:val="004609FB"/>
    <w:rsid w:val="004774FA"/>
    <w:rsid w:val="004E1991"/>
    <w:rsid w:val="00511FA5"/>
    <w:rsid w:val="00574AC6"/>
    <w:rsid w:val="0058795A"/>
    <w:rsid w:val="00595143"/>
    <w:rsid w:val="00595C3F"/>
    <w:rsid w:val="005A1D73"/>
    <w:rsid w:val="005F43CD"/>
    <w:rsid w:val="00693A36"/>
    <w:rsid w:val="00697D5B"/>
    <w:rsid w:val="00713CBE"/>
    <w:rsid w:val="00724E49"/>
    <w:rsid w:val="007F5A2C"/>
    <w:rsid w:val="008177B4"/>
    <w:rsid w:val="00835ACA"/>
    <w:rsid w:val="00854D33"/>
    <w:rsid w:val="00886689"/>
    <w:rsid w:val="00896F2E"/>
    <w:rsid w:val="008B612E"/>
    <w:rsid w:val="0090396A"/>
    <w:rsid w:val="00AD0479"/>
    <w:rsid w:val="00AD6444"/>
    <w:rsid w:val="00BB2BBA"/>
    <w:rsid w:val="00BC1D3B"/>
    <w:rsid w:val="00BD039F"/>
    <w:rsid w:val="00BE59EA"/>
    <w:rsid w:val="00CA35FA"/>
    <w:rsid w:val="00DB63BE"/>
    <w:rsid w:val="00DC729A"/>
    <w:rsid w:val="00E24936"/>
    <w:rsid w:val="00E37482"/>
    <w:rsid w:val="00EA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0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50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50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28" TargetMode="External"/><Relationship Id="rId13" Type="http://schemas.openxmlformats.org/officeDocument/2006/relationships/hyperlink" Target="https://login.consultant.ru/link/?req=doc&amp;base=LAW&amp;n=475123&amp;dst=100014" TargetMode="External"/><Relationship Id="rId18" Type="http://schemas.openxmlformats.org/officeDocument/2006/relationships/hyperlink" Target="https://login.consultant.ru/link/?req=doc&amp;base=LAW&amp;n=475123&amp;dst=100023" TargetMode="External"/><Relationship Id="rId26" Type="http://schemas.openxmlformats.org/officeDocument/2006/relationships/hyperlink" Target="https://login.consultant.ru/link/?req=doc&amp;base=LAW&amp;n=475123&amp;dst=100041" TargetMode="External"/><Relationship Id="rId39" Type="http://schemas.openxmlformats.org/officeDocument/2006/relationships/hyperlink" Target="https://login.consultant.ru/link/?req=doc&amp;base=LAW&amp;n=495304&amp;dst=100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123&amp;dst=100033" TargetMode="External"/><Relationship Id="rId34" Type="http://schemas.openxmlformats.org/officeDocument/2006/relationships/hyperlink" Target="https://login.consultant.ru/link/?req=doc&amp;base=LAW&amp;n=475123&amp;dst=100123" TargetMode="External"/><Relationship Id="rId42" Type="http://schemas.openxmlformats.org/officeDocument/2006/relationships/hyperlink" Target="https://login.consultant.ru/link/?req=doc&amp;base=LAW&amp;n=475073&amp;dst=10000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1388&amp;dst=100007" TargetMode="External"/><Relationship Id="rId12" Type="http://schemas.openxmlformats.org/officeDocument/2006/relationships/hyperlink" Target="https://login.consultant.ru/link/?req=doc&amp;base=LAW&amp;n=475123&amp;dst=100012" TargetMode="External"/><Relationship Id="rId17" Type="http://schemas.openxmlformats.org/officeDocument/2006/relationships/hyperlink" Target="https://login.consultant.ru/link/?req=doc&amp;base=LAW&amp;n=475123&amp;dst=100022" TargetMode="External"/><Relationship Id="rId25" Type="http://schemas.openxmlformats.org/officeDocument/2006/relationships/hyperlink" Target="https://login.consultant.ru/link/?req=doc&amp;base=LAW&amp;n=475123&amp;dst=100120" TargetMode="External"/><Relationship Id="rId33" Type="http://schemas.openxmlformats.org/officeDocument/2006/relationships/hyperlink" Target="https://login.consultant.ru/link/?req=doc&amp;base=LAW&amp;n=475123&amp;dst=100122" TargetMode="External"/><Relationship Id="rId38" Type="http://schemas.openxmlformats.org/officeDocument/2006/relationships/hyperlink" Target="https://login.consultant.ru/link/?req=doc&amp;base=LAW&amp;n=495304&amp;dst=100007" TargetMode="External"/><Relationship Id="rId46" Type="http://schemas.openxmlformats.org/officeDocument/2006/relationships/hyperlink" Target="https://login.consultant.ru/link/?req=doc&amp;base=LAW&amp;n=501390&amp;dst=1001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123&amp;dst=100019" TargetMode="External"/><Relationship Id="rId20" Type="http://schemas.openxmlformats.org/officeDocument/2006/relationships/hyperlink" Target="https://login.consultant.ru/link/?req=doc&amp;base=LAW&amp;n=475123&amp;dst=100115" TargetMode="External"/><Relationship Id="rId29" Type="http://schemas.openxmlformats.org/officeDocument/2006/relationships/hyperlink" Target="https://login.consultant.ru/link/?req=doc&amp;base=LAW&amp;n=483128" TargetMode="External"/><Relationship Id="rId41" Type="http://schemas.openxmlformats.org/officeDocument/2006/relationships/hyperlink" Target="https://login.consultant.ru/link/?req=doc&amp;base=LAW&amp;n=475123&amp;dst=1000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28&amp;dst=100029" TargetMode="External"/><Relationship Id="rId11" Type="http://schemas.openxmlformats.org/officeDocument/2006/relationships/hyperlink" Target="https://login.consultant.ru/link/?req=doc&amp;base=LAW&amp;n=475123&amp;dst=100012" TargetMode="External"/><Relationship Id="rId24" Type="http://schemas.openxmlformats.org/officeDocument/2006/relationships/hyperlink" Target="https://login.consultant.ru/link/?req=doc&amp;base=LAW&amp;n=475123&amp;dst=100120" TargetMode="External"/><Relationship Id="rId32" Type="http://schemas.openxmlformats.org/officeDocument/2006/relationships/hyperlink" Target="https://login.consultant.ru/link/?req=doc&amp;base=LAW&amp;n=475123&amp;dst=100046" TargetMode="External"/><Relationship Id="rId37" Type="http://schemas.openxmlformats.org/officeDocument/2006/relationships/hyperlink" Target="https://login.consultant.ru/link/?req=doc&amp;base=LAW&amp;n=495304" TargetMode="External"/><Relationship Id="rId40" Type="http://schemas.openxmlformats.org/officeDocument/2006/relationships/hyperlink" Target="https://login.consultant.ru/link/?req=doc&amp;base=LAW&amp;n=475118" TargetMode="External"/><Relationship Id="rId45" Type="http://schemas.openxmlformats.org/officeDocument/2006/relationships/hyperlink" Target="https://login.consultant.ru/link/?req=doc&amp;base=LAW&amp;n=475073&amp;dst=100030" TargetMode="External"/><Relationship Id="rId5" Type="http://schemas.openxmlformats.org/officeDocument/2006/relationships/hyperlink" Target="https://login.consultant.ru/link/?req=doc&amp;base=LAW&amp;n=2875&amp;dst=100330" TargetMode="External"/><Relationship Id="rId15" Type="http://schemas.openxmlformats.org/officeDocument/2006/relationships/hyperlink" Target="https://login.consultant.ru/link/?req=doc&amp;base=LAW&amp;n=475123&amp;dst=100017" TargetMode="External"/><Relationship Id="rId23" Type="http://schemas.openxmlformats.org/officeDocument/2006/relationships/hyperlink" Target="https://login.consultant.ru/link/?req=doc&amp;base=LAW&amp;n=475123&amp;dst=100119" TargetMode="External"/><Relationship Id="rId28" Type="http://schemas.openxmlformats.org/officeDocument/2006/relationships/hyperlink" Target="https://login.consultant.ru/link/?req=doc&amp;base=LAW&amp;n=475123&amp;dst=100121" TargetMode="External"/><Relationship Id="rId36" Type="http://schemas.openxmlformats.org/officeDocument/2006/relationships/hyperlink" Target="https://login.consultant.ru/link/?req=doc&amp;base=LAW&amp;n=475123&amp;dst=100125" TargetMode="External"/><Relationship Id="rId10" Type="http://schemas.openxmlformats.org/officeDocument/2006/relationships/hyperlink" Target="https://login.consultant.ru/link/?req=doc&amp;base=LAW&amp;n=475123&amp;dst=100113" TargetMode="External"/><Relationship Id="rId19" Type="http://schemas.openxmlformats.org/officeDocument/2006/relationships/hyperlink" Target="https://login.consultant.ru/link/?req=doc&amp;base=LAW&amp;n=475123&amp;dst=100114" TargetMode="External"/><Relationship Id="rId31" Type="http://schemas.openxmlformats.org/officeDocument/2006/relationships/hyperlink" Target="https://login.consultant.ru/link/?req=doc&amp;base=LAW&amp;n=475123&amp;dst=100045" TargetMode="External"/><Relationship Id="rId44" Type="http://schemas.openxmlformats.org/officeDocument/2006/relationships/hyperlink" Target="https://login.consultant.ru/link/?req=doc&amp;base=LAW&amp;n=475073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5123" TargetMode="External"/><Relationship Id="rId14" Type="http://schemas.openxmlformats.org/officeDocument/2006/relationships/hyperlink" Target="https://login.consultant.ru/link/?req=doc&amp;base=LAW&amp;n=475123&amp;dst=100016" TargetMode="External"/><Relationship Id="rId22" Type="http://schemas.openxmlformats.org/officeDocument/2006/relationships/hyperlink" Target="https://login.consultant.ru/link/?req=doc&amp;base=LAW&amp;n=475123&amp;dst=100118" TargetMode="External"/><Relationship Id="rId27" Type="http://schemas.openxmlformats.org/officeDocument/2006/relationships/hyperlink" Target="https://login.consultant.ru/link/?req=doc&amp;base=LAW&amp;n=483128" TargetMode="External"/><Relationship Id="rId30" Type="http://schemas.openxmlformats.org/officeDocument/2006/relationships/hyperlink" Target="https://login.consultant.ru/link/?req=doc&amp;base=LAW&amp;n=475123" TargetMode="External"/><Relationship Id="rId35" Type="http://schemas.openxmlformats.org/officeDocument/2006/relationships/hyperlink" Target="https://login.consultant.ru/link/?req=doc&amp;base=LAW&amp;n=475123&amp;dst=100124" TargetMode="External"/><Relationship Id="rId43" Type="http://schemas.openxmlformats.org/officeDocument/2006/relationships/hyperlink" Target="https://login.consultant.ru/link/?req=doc&amp;base=LAW&amp;n=475073&amp;dst=10001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2468</Words>
  <Characters>14070</Characters>
  <Application>Microsoft Office Word</Application>
  <DocSecurity>0</DocSecurity>
  <Lines>117</Lines>
  <Paragraphs>33</Paragraphs>
  <ScaleCrop>false</ScaleCrop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Tuzova</dc:creator>
  <cp:lastModifiedBy>Tuzova</cp:lastModifiedBy>
  <cp:revision>1</cp:revision>
  <dcterms:created xsi:type="dcterms:W3CDTF">2025-04-14T13:30:00Z</dcterms:created>
  <dcterms:modified xsi:type="dcterms:W3CDTF">2025-04-14T13:32:00Z</dcterms:modified>
</cp:coreProperties>
</file>